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2352" w:type="dxa"/>
        <w:tblInd w:w="-716" w:type="dxa"/>
        <w:tblCellMar>
          <w:top w:w="27" w:type="dxa"/>
          <w:left w:w="83" w:type="dxa"/>
          <w:right w:w="47" w:type="dxa"/>
        </w:tblCellMar>
        <w:tblLook w:val="04A0" w:firstRow="1" w:lastRow="0" w:firstColumn="1" w:lastColumn="0" w:noHBand="0" w:noVBand="1"/>
      </w:tblPr>
      <w:tblGrid>
        <w:gridCol w:w="1622"/>
        <w:gridCol w:w="1860"/>
        <w:gridCol w:w="789"/>
        <w:gridCol w:w="1808"/>
        <w:gridCol w:w="1809"/>
        <w:gridCol w:w="1808"/>
        <w:gridCol w:w="1808"/>
        <w:gridCol w:w="1808"/>
        <w:gridCol w:w="1808"/>
        <w:gridCol w:w="1808"/>
        <w:gridCol w:w="1808"/>
        <w:gridCol w:w="1808"/>
        <w:gridCol w:w="1808"/>
      </w:tblGrid>
      <w:tr w:rsidR="000757CC" w14:paraId="72C4EA33" w14:textId="77777777" w:rsidTr="00D32815">
        <w:trPr>
          <w:trHeight w:val="536"/>
        </w:trPr>
        <w:tc>
          <w:tcPr>
            <w:tcW w:w="7888" w:type="dxa"/>
            <w:gridSpan w:val="5"/>
            <w:tcBorders>
              <w:top w:val="single" w:sz="12" w:space="0" w:color="568096"/>
              <w:left w:val="single" w:sz="12" w:space="0" w:color="568096"/>
              <w:bottom w:val="single" w:sz="4" w:space="0" w:color="568096"/>
              <w:right w:val="nil"/>
            </w:tcBorders>
            <w:shd w:val="clear" w:color="auto" w:fill="568096"/>
          </w:tcPr>
          <w:p w14:paraId="137B8FDB" w14:textId="77777777" w:rsidR="000757CC" w:rsidRDefault="009060F8">
            <w:pPr>
              <w:tabs>
                <w:tab w:val="center" w:pos="2335"/>
              </w:tabs>
              <w:spacing w:after="1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Kompetence-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ab/>
              <w:t>Kompetence-</w:t>
            </w:r>
          </w:p>
          <w:p w14:paraId="064A8CCB" w14:textId="77777777" w:rsidR="000757CC" w:rsidRDefault="009060F8">
            <w:pPr>
              <w:tabs>
                <w:tab w:val="center" w:pos="1832"/>
                <w:tab w:val="center" w:pos="3796"/>
              </w:tabs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område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ab/>
              <w:t>mål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31"/>
                <w:vertAlign w:val="superscript"/>
              </w:rPr>
              <w:t>Faser</w:t>
            </w:r>
          </w:p>
        </w:tc>
        <w:tc>
          <w:tcPr>
            <w:tcW w:w="3616" w:type="dxa"/>
            <w:gridSpan w:val="2"/>
            <w:tcBorders>
              <w:top w:val="single" w:sz="12" w:space="0" w:color="568096"/>
              <w:left w:val="nil"/>
              <w:bottom w:val="single" w:sz="4" w:space="0" w:color="568096"/>
              <w:right w:val="nil"/>
            </w:tcBorders>
            <w:shd w:val="clear" w:color="auto" w:fill="568096"/>
          </w:tcPr>
          <w:p w14:paraId="7507FF1D" w14:textId="77777777" w:rsidR="000757CC" w:rsidRDefault="000757CC"/>
        </w:tc>
        <w:tc>
          <w:tcPr>
            <w:tcW w:w="3616" w:type="dxa"/>
            <w:gridSpan w:val="2"/>
            <w:tcBorders>
              <w:top w:val="single" w:sz="12" w:space="0" w:color="568096"/>
              <w:left w:val="nil"/>
              <w:bottom w:val="single" w:sz="4" w:space="0" w:color="568096"/>
              <w:right w:val="nil"/>
            </w:tcBorders>
            <w:shd w:val="clear" w:color="auto" w:fill="568096"/>
          </w:tcPr>
          <w:p w14:paraId="4ED304A7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Færdigheds- og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vidensmål</w:t>
            </w:r>
            <w:proofErr w:type="spellEnd"/>
          </w:p>
        </w:tc>
        <w:tc>
          <w:tcPr>
            <w:tcW w:w="3616" w:type="dxa"/>
            <w:gridSpan w:val="2"/>
            <w:tcBorders>
              <w:top w:val="single" w:sz="12" w:space="0" w:color="568096"/>
              <w:left w:val="nil"/>
              <w:bottom w:val="single" w:sz="4" w:space="0" w:color="568096"/>
              <w:right w:val="nil"/>
            </w:tcBorders>
            <w:shd w:val="clear" w:color="auto" w:fill="568096"/>
          </w:tcPr>
          <w:p w14:paraId="10666418" w14:textId="77777777" w:rsidR="000757CC" w:rsidRDefault="000757CC"/>
        </w:tc>
        <w:tc>
          <w:tcPr>
            <w:tcW w:w="3616" w:type="dxa"/>
            <w:gridSpan w:val="2"/>
            <w:tcBorders>
              <w:top w:val="single" w:sz="12" w:space="0" w:color="568096"/>
              <w:left w:val="nil"/>
              <w:bottom w:val="single" w:sz="4" w:space="0" w:color="568096"/>
              <w:right w:val="single" w:sz="12" w:space="0" w:color="568096"/>
            </w:tcBorders>
            <w:shd w:val="clear" w:color="auto" w:fill="568096"/>
          </w:tcPr>
          <w:p w14:paraId="431AB600" w14:textId="77777777" w:rsidR="000757CC" w:rsidRDefault="000757CC"/>
        </w:tc>
      </w:tr>
      <w:tr w:rsidR="000757CC" w14:paraId="1D99D82B" w14:textId="77777777" w:rsidTr="00D32815">
        <w:trPr>
          <w:trHeight w:val="340"/>
        </w:trPr>
        <w:tc>
          <w:tcPr>
            <w:tcW w:w="1622" w:type="dxa"/>
            <w:vMerge w:val="restart"/>
            <w:tcBorders>
              <w:top w:val="single" w:sz="4" w:space="0" w:color="568096"/>
              <w:left w:val="single" w:sz="12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  <w:vAlign w:val="center"/>
          </w:tcPr>
          <w:p w14:paraId="07599C52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Mad og sundhed</w:t>
            </w:r>
          </w:p>
        </w:tc>
        <w:tc>
          <w:tcPr>
            <w:tcW w:w="1860" w:type="dxa"/>
            <w:vMerge w:val="restart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13CE9796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træffe begrundede madvalg i forhold til sundhed</w:t>
            </w:r>
          </w:p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779A05E5" w14:textId="77777777" w:rsidR="000757CC" w:rsidRDefault="009060F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3617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6AE10911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Sundhedsbevidsthed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5625BA26" w14:textId="77777777" w:rsidR="000757CC" w:rsidRDefault="009060F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Ernæring og energibehov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00633015" w14:textId="77777777" w:rsidR="000757CC" w:rsidRDefault="009060F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Hygiejne</w:t>
            </w:r>
          </w:p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nil"/>
            </w:tcBorders>
            <w:shd w:val="clear" w:color="auto" w:fill="DBDCDE"/>
            <w:vAlign w:val="center"/>
          </w:tcPr>
          <w:p w14:paraId="783834CC" w14:textId="77777777" w:rsidR="000757CC" w:rsidRDefault="000757CC"/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nil"/>
              <w:bottom w:val="nil"/>
              <w:right w:val="single" w:sz="12" w:space="0" w:color="568096"/>
            </w:tcBorders>
            <w:shd w:val="clear" w:color="auto" w:fill="DBDCDE"/>
          </w:tcPr>
          <w:p w14:paraId="1F4E6588" w14:textId="77777777" w:rsidR="000757CC" w:rsidRDefault="000757CC"/>
        </w:tc>
      </w:tr>
      <w:tr w:rsidR="000757CC" w14:paraId="73430B69" w14:textId="77777777" w:rsidTr="005C2145">
        <w:trPr>
          <w:trHeight w:val="1644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nil"/>
              <w:right w:val="single" w:sz="4" w:space="0" w:color="568096"/>
            </w:tcBorders>
          </w:tcPr>
          <w:p w14:paraId="3206A138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nil"/>
              <w:right w:val="single" w:sz="4" w:space="0" w:color="568096"/>
            </w:tcBorders>
          </w:tcPr>
          <w:p w14:paraId="4363B2A4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62C91A7D" w14:textId="77777777" w:rsidR="000757CC" w:rsidRDefault="009060F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1.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580A103D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omsætte viden om sund mad i madlavning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151DE468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sund mad og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36D02101" w14:textId="77777777" w:rsidR="000757CC" w:rsidRDefault="009060F8">
            <w:pPr>
              <w:ind w:left="2" w:right="68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redegøre for energibehov og ernæring i forhold til egen sundhed, herunder med digital kostberegning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698EF82E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ernæringsfaktorer og energibehov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2CD3EE3B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anvende almindelige hygiejneprincipper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59670807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hygiejne-, opbevarings- og konserveringsprincipper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nil"/>
              <w:right w:val="nil"/>
            </w:tcBorders>
          </w:tcPr>
          <w:p w14:paraId="60ABD007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568096"/>
            </w:tcBorders>
          </w:tcPr>
          <w:p w14:paraId="3A58946E" w14:textId="77777777" w:rsidR="000757CC" w:rsidRDefault="000757CC"/>
        </w:tc>
      </w:tr>
      <w:tr w:rsidR="000757CC" w14:paraId="1E1D4B89" w14:textId="77777777" w:rsidTr="00D32815">
        <w:trPr>
          <w:trHeight w:val="1206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single" w:sz="4" w:space="0" w:color="568096"/>
              <w:right w:val="single" w:sz="4" w:space="0" w:color="568096"/>
            </w:tcBorders>
          </w:tcPr>
          <w:p w14:paraId="6E19B7F9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single" w:sz="4" w:space="0" w:color="568096"/>
              <w:right w:val="single" w:sz="4" w:space="0" w:color="568096"/>
            </w:tcBorders>
          </w:tcPr>
          <w:p w14:paraId="6BB3BCF9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69657D7D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2.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758C06F0" w14:textId="77777777" w:rsidR="000757CC" w:rsidRDefault="009060F8">
            <w:pPr>
              <w:ind w:left="2" w:right="156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 vurdere egne madvalg i forhold til sundhed, trivsel og miljø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17F31FEC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faktorer der påvirker madvalg, sundhed, trivsel og miljø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651C6897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anvende kostanbefalinger til madlavning og måltidssammensætning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0DE54A1E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kostanbefalinger og deres grundlag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30590B89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mads holdbarhed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631C47CE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mikroorganismer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single" w:sz="4" w:space="0" w:color="568096"/>
              <w:right w:val="nil"/>
            </w:tcBorders>
          </w:tcPr>
          <w:p w14:paraId="4EFB9D26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568096"/>
            </w:tcBorders>
          </w:tcPr>
          <w:p w14:paraId="25C8A98D" w14:textId="77777777" w:rsidR="000757CC" w:rsidRDefault="000757CC"/>
        </w:tc>
      </w:tr>
      <w:tr w:rsidR="000757CC" w14:paraId="77D45CBB" w14:textId="77777777" w:rsidTr="00D32815">
        <w:trPr>
          <w:trHeight w:val="510"/>
        </w:trPr>
        <w:tc>
          <w:tcPr>
            <w:tcW w:w="1622" w:type="dxa"/>
            <w:vMerge w:val="restart"/>
            <w:tcBorders>
              <w:top w:val="single" w:sz="4" w:space="0" w:color="568096"/>
              <w:left w:val="single" w:sz="12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  <w:vAlign w:val="center"/>
          </w:tcPr>
          <w:p w14:paraId="64E77AEB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Fødevarebevidsthed</w:t>
            </w:r>
          </w:p>
        </w:tc>
        <w:tc>
          <w:tcPr>
            <w:tcW w:w="1860" w:type="dxa"/>
            <w:vMerge w:val="restart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1F637366" w14:textId="77777777" w:rsidR="000757CC" w:rsidRDefault="009060F8">
            <w:pPr>
              <w:spacing w:line="262" w:lineRule="auto"/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Eleven kan træffe  begrundede madvalg </w:t>
            </w:r>
          </w:p>
          <w:p w14:paraId="454EC45B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i forhold til kvalitet, smag og bæredygtighed</w:t>
            </w:r>
          </w:p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79CFA8A7" w14:textId="77777777" w:rsidR="000757CC" w:rsidRDefault="009060F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3617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2E860774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Råvarekendskab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66D8BF7C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Bæredygtighed og miljø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2436E9CA" w14:textId="77777777" w:rsidR="000757CC" w:rsidRDefault="009060F8">
            <w:pPr>
              <w:spacing w:after="2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Madvaredeklarationer og </w:t>
            </w:r>
          </w:p>
          <w:p w14:paraId="69B3B9E1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fødevaremærkninger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2EEEE23A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Kvalitetsforståelse og madforbrug</w:t>
            </w:r>
          </w:p>
        </w:tc>
        <w:tc>
          <w:tcPr>
            <w:tcW w:w="3616" w:type="dxa"/>
            <w:gridSpan w:val="2"/>
            <w:vMerge w:val="restart"/>
            <w:tcBorders>
              <w:top w:val="nil"/>
              <w:left w:val="single" w:sz="4" w:space="0" w:color="568096"/>
              <w:bottom w:val="single" w:sz="4" w:space="0" w:color="568096"/>
              <w:right w:val="single" w:sz="12" w:space="0" w:color="568096"/>
            </w:tcBorders>
            <w:shd w:val="clear" w:color="auto" w:fill="DBDCDE"/>
          </w:tcPr>
          <w:p w14:paraId="1D699DB8" w14:textId="77777777" w:rsidR="000757CC" w:rsidRDefault="000757CC"/>
        </w:tc>
      </w:tr>
      <w:tr w:rsidR="000757CC" w14:paraId="76005E6F" w14:textId="77777777" w:rsidTr="007E25EB">
        <w:trPr>
          <w:trHeight w:val="1587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nil"/>
              <w:right w:val="single" w:sz="4" w:space="0" w:color="568096"/>
            </w:tcBorders>
          </w:tcPr>
          <w:p w14:paraId="28F65750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nil"/>
              <w:right w:val="single" w:sz="4" w:space="0" w:color="568096"/>
            </w:tcBorders>
          </w:tcPr>
          <w:p w14:paraId="0D8068C4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123FCC5F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1.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34900F96" w14:textId="77777777" w:rsidR="000757CC" w:rsidRDefault="009060F8">
            <w:pPr>
              <w:ind w:left="2" w:right="108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redegøre for almindelige råvarers smag og anvendelse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15B2B461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råvaregruppers smag og anvendelse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03BE9A46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analysere fødevaregruppers vej fra jord til bord og til jord igen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42312946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fødevaregruppers bæredygtighed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730944F5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aflæse madvaredeklarationer og fødevaremærkninger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45A765BD" w14:textId="77777777" w:rsidR="000757CC" w:rsidRDefault="009060F8">
            <w:pPr>
              <w:ind w:left="1" w:right="37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fagord og begreber og maddeklarationers og mærkningsordningers formål og struktur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41F6CB84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fødevarers kvalitet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33EA6836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 kvalitetskriterier for fødevarer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nil"/>
              <w:right w:val="single" w:sz="12" w:space="0" w:color="568096"/>
            </w:tcBorders>
          </w:tcPr>
          <w:p w14:paraId="42ACB09D" w14:textId="77777777" w:rsidR="000757CC" w:rsidRDefault="000757CC"/>
        </w:tc>
      </w:tr>
      <w:tr w:rsidR="000757CC" w14:paraId="3A1AE6F9" w14:textId="77777777" w:rsidTr="005C2145">
        <w:trPr>
          <w:trHeight w:val="1433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single" w:sz="4" w:space="0" w:color="568096"/>
              <w:right w:val="single" w:sz="4" w:space="0" w:color="568096"/>
            </w:tcBorders>
          </w:tcPr>
          <w:p w14:paraId="0733BBA5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single" w:sz="4" w:space="0" w:color="568096"/>
              <w:right w:val="single" w:sz="4" w:space="0" w:color="568096"/>
            </w:tcBorders>
          </w:tcPr>
          <w:p w14:paraId="66B24B08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60F5648B" w14:textId="77777777" w:rsidR="000757CC" w:rsidRDefault="009060F8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2.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411F2541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tage hensyn til råvarers fysisk-kemiske egenskaber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62E4F2A5" w14:textId="77777777" w:rsidR="000757CC" w:rsidRDefault="009060F8">
            <w:pPr>
              <w:ind w:left="1" w:right="99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råvaregruppers fysisk-kemiske egenskaber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043DA173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miljømæssige konsekvenser af madhåndtering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4B6775C5" w14:textId="77777777" w:rsidR="000757CC" w:rsidRDefault="009060F8">
            <w:pPr>
              <w:ind w:left="1" w:right="144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betydningen af madhåndtering for bæredygtighed og miljø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5B1DDADC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næringsindhold og  tilsætningsstoffer, herunder med digitale værktøjer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23621106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næringsdeklarationer og tilsætningsstoffer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0433EAA0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madforbrug i relation til kvalitet, hverdagsliv, æstetik og markedsføring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56BCAEA0" w14:textId="77777777" w:rsidR="000757CC" w:rsidRDefault="009060F8">
            <w:pPr>
              <w:spacing w:after="2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Eleven har viden om </w:t>
            </w:r>
          </w:p>
          <w:p w14:paraId="1F841A4D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faktorer der påvirker madforbrug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single" w:sz="4" w:space="0" w:color="568096"/>
              <w:right w:val="single" w:sz="12" w:space="0" w:color="568096"/>
            </w:tcBorders>
          </w:tcPr>
          <w:p w14:paraId="29F1BE36" w14:textId="77777777" w:rsidR="000757CC" w:rsidRDefault="000757CC"/>
        </w:tc>
      </w:tr>
      <w:tr w:rsidR="000757CC" w14:paraId="78FC2E7E" w14:textId="77777777" w:rsidTr="00D32815">
        <w:trPr>
          <w:trHeight w:val="340"/>
        </w:trPr>
        <w:tc>
          <w:tcPr>
            <w:tcW w:w="1622" w:type="dxa"/>
            <w:vMerge w:val="restart"/>
            <w:tcBorders>
              <w:top w:val="single" w:sz="4" w:space="0" w:color="568096"/>
              <w:left w:val="single" w:sz="12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  <w:vAlign w:val="center"/>
          </w:tcPr>
          <w:p w14:paraId="351BB1A1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Madlavning</w:t>
            </w:r>
          </w:p>
        </w:tc>
        <w:tc>
          <w:tcPr>
            <w:tcW w:w="1860" w:type="dxa"/>
            <w:vMerge w:val="restart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027A38CC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anvende madlavningsteknikker og omsætte idéer i madlavningen</w:t>
            </w:r>
          </w:p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25E18C47" w14:textId="77777777" w:rsidR="000757CC" w:rsidRDefault="009060F8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3617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58CF530A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Madlavningens mål og struktur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24B18FE9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Grundmetoder og madteknik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4AEA98FD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Madlavningens fysik og kemi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24FBF65B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Smag og tilsmagning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12" w:space="0" w:color="568096"/>
            </w:tcBorders>
            <w:shd w:val="clear" w:color="auto" w:fill="CBD3DA"/>
          </w:tcPr>
          <w:p w14:paraId="7126CFBB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Madens æstetik</w:t>
            </w:r>
          </w:p>
        </w:tc>
      </w:tr>
      <w:tr w:rsidR="000757CC" w14:paraId="528E869F" w14:textId="77777777" w:rsidTr="005C2145">
        <w:trPr>
          <w:trHeight w:val="1405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nil"/>
              <w:right w:val="single" w:sz="4" w:space="0" w:color="568096"/>
            </w:tcBorders>
          </w:tcPr>
          <w:p w14:paraId="7D9097D3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nil"/>
              <w:right w:val="single" w:sz="4" w:space="0" w:color="568096"/>
            </w:tcBorders>
          </w:tcPr>
          <w:p w14:paraId="2F1D63D4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158B7E55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1.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237A2CD7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lave mad efter en opskrift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21170328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køkkenredskaber, arbejdsprocesser samt fagord og begreber i en opskrift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0AE0E136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lave mad ud fra enkle grundmetoder og teknikker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702C99A0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grundmetoder og teknikker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7A0E7420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lave mad under hensyntagen til fysisk-kemiske processer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1789EA23" w14:textId="77777777" w:rsidR="000757CC" w:rsidRDefault="009060F8">
            <w:pPr>
              <w:ind w:left="1" w:right="88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madlavnings grundlæggende fysik og kemi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20E7F398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skelne mellem forskellige grundsmage, konsistens og aroma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7D78CE81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grundsmage, konsistens og aroma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1E972539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fortolke sanse- og madoplevelser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12" w:space="0" w:color="568096"/>
            </w:tcBorders>
            <w:shd w:val="clear" w:color="auto" w:fill="E7E6E6" w:themeFill="background2"/>
          </w:tcPr>
          <w:p w14:paraId="277BC703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sanselighed</w:t>
            </w:r>
          </w:p>
        </w:tc>
      </w:tr>
      <w:tr w:rsidR="000757CC" w14:paraId="44C300B1" w14:textId="77777777" w:rsidTr="005C2145">
        <w:trPr>
          <w:trHeight w:val="1814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single" w:sz="4" w:space="0" w:color="568096"/>
              <w:right w:val="single" w:sz="4" w:space="0" w:color="568096"/>
            </w:tcBorders>
          </w:tcPr>
          <w:p w14:paraId="40CF5502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single" w:sz="4" w:space="0" w:color="568096"/>
              <w:right w:val="single" w:sz="4" w:space="0" w:color="568096"/>
            </w:tcBorders>
          </w:tcPr>
          <w:p w14:paraId="6CFCFFFF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40F5C469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2.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2F7CC3D7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udvikle opskrifter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6071E4D2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mål og struktur i opskrifter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0C6444B4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kombinere grundmetoder og teknikker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7DAC5CE4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kombinationsmuligheder mellem grundmetoder og teknikker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58749D2C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skabe retter under hensynstagen til sammenhæng mellem madlavnings grundmetoder og fysisk-kemiske egenskaber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0CBE950D" w14:textId="77777777" w:rsidR="000757CC" w:rsidRDefault="009060F8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Eleven har viden </w:t>
            </w:r>
          </w:p>
          <w:p w14:paraId="0668D510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om sammenhæng mellem madlavnings grundmetoder og fysisk-kemiske egenskaber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7EC28945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tilsmage og krydre maden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081920B1" w14:textId="77777777" w:rsidR="000757CC" w:rsidRDefault="009060F8">
            <w:pPr>
              <w:ind w:right="145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tilsmagning og krydring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4707ED42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vurdere mads æstetiske indtryk og udtryk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12" w:space="0" w:color="568096"/>
            </w:tcBorders>
            <w:shd w:val="clear" w:color="auto" w:fill="E7E6E6" w:themeFill="background2"/>
          </w:tcPr>
          <w:p w14:paraId="1625D758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mads æstetiske vurderingskriterier</w:t>
            </w:r>
          </w:p>
        </w:tc>
      </w:tr>
      <w:tr w:rsidR="000757CC" w14:paraId="69310FF8" w14:textId="77777777" w:rsidTr="00D32815">
        <w:trPr>
          <w:trHeight w:val="340"/>
        </w:trPr>
        <w:tc>
          <w:tcPr>
            <w:tcW w:w="1622" w:type="dxa"/>
            <w:vMerge w:val="restart"/>
            <w:tcBorders>
              <w:top w:val="single" w:sz="4" w:space="0" w:color="568096"/>
              <w:left w:val="single" w:sz="12" w:space="0" w:color="568096"/>
              <w:bottom w:val="single" w:sz="12" w:space="0" w:color="568096"/>
              <w:right w:val="single" w:sz="4" w:space="0" w:color="568096"/>
            </w:tcBorders>
            <w:shd w:val="clear" w:color="auto" w:fill="CBD3DA"/>
            <w:vAlign w:val="center"/>
          </w:tcPr>
          <w:p w14:paraId="07FE6936" w14:textId="77777777" w:rsidR="000757CC" w:rsidRDefault="009060F8">
            <w:r>
              <w:rPr>
                <w:rFonts w:ascii="Times New Roman" w:eastAsia="Times New Roman" w:hAnsi="Times New Roman" w:cs="Times New Roman"/>
                <w:b/>
                <w:sz w:val="15"/>
              </w:rPr>
              <w:t>Måltid og madkultur</w:t>
            </w:r>
          </w:p>
        </w:tc>
        <w:tc>
          <w:tcPr>
            <w:tcW w:w="1860" w:type="dxa"/>
            <w:vMerge w:val="restart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4616E71A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fortolke måltider med forståelse for værdier, kultur og levevilkår</w:t>
            </w:r>
          </w:p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77ACA9E8" w14:textId="77777777" w:rsidR="000757CC" w:rsidRDefault="009060F8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3617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35FF24D7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Måltidets komposition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183513D1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Måltidskultur</w:t>
            </w:r>
          </w:p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nil"/>
            </w:tcBorders>
            <w:shd w:val="clear" w:color="auto" w:fill="DBDCDE"/>
          </w:tcPr>
          <w:p w14:paraId="4745E5E2" w14:textId="77777777" w:rsidR="000757CC" w:rsidRDefault="000757CC">
            <w:bookmarkStart w:id="0" w:name="_GoBack"/>
            <w:bookmarkEnd w:id="0"/>
          </w:p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nil"/>
              <w:bottom w:val="single" w:sz="12" w:space="0" w:color="568096"/>
              <w:right w:val="nil"/>
            </w:tcBorders>
            <w:shd w:val="clear" w:color="auto" w:fill="DBDCDE"/>
          </w:tcPr>
          <w:p w14:paraId="5F90E857" w14:textId="77777777" w:rsidR="000757CC" w:rsidRDefault="000757CC"/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nil"/>
              <w:bottom w:val="single" w:sz="12" w:space="0" w:color="568096"/>
              <w:right w:val="single" w:sz="12" w:space="0" w:color="568096"/>
            </w:tcBorders>
            <w:shd w:val="clear" w:color="auto" w:fill="DBDCDE"/>
          </w:tcPr>
          <w:p w14:paraId="552E3842" w14:textId="77777777" w:rsidR="000757CC" w:rsidRDefault="000757CC"/>
        </w:tc>
      </w:tr>
      <w:tr w:rsidR="000757CC" w14:paraId="1DCBFFD8" w14:textId="77777777" w:rsidTr="00D32815">
        <w:trPr>
          <w:trHeight w:val="1191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nil"/>
              <w:right w:val="single" w:sz="4" w:space="0" w:color="568096"/>
            </w:tcBorders>
          </w:tcPr>
          <w:p w14:paraId="1A3E8EB0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nil"/>
              <w:right w:val="single" w:sz="4" w:space="0" w:color="568096"/>
            </w:tcBorders>
          </w:tcPr>
          <w:p w14:paraId="6CF4B77F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033080DF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76CC96B1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opbygge hverdagens måltider ud fra formål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21BE0089" w14:textId="77777777" w:rsidR="000757CC" w:rsidRDefault="009060F8">
            <w:pPr>
              <w:ind w:right="145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grundprincipper for opbygning af måltider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11275878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analysere måltider fra forskellige kulturer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FFE599" w:themeFill="accent4" w:themeFillTint="66"/>
          </w:tcPr>
          <w:p w14:paraId="2D79BF1F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mad- og måltidskulturer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nil"/>
              <w:right w:val="nil"/>
            </w:tcBorders>
          </w:tcPr>
          <w:p w14:paraId="32A5E5B3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169CAE9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568096"/>
            </w:tcBorders>
          </w:tcPr>
          <w:p w14:paraId="729A2009" w14:textId="77777777" w:rsidR="000757CC" w:rsidRDefault="000757CC"/>
        </w:tc>
      </w:tr>
      <w:tr w:rsidR="000757CC" w14:paraId="23A48EEE" w14:textId="77777777" w:rsidTr="00D32815">
        <w:trPr>
          <w:trHeight w:val="1191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single" w:sz="12" w:space="0" w:color="568096"/>
              <w:right w:val="single" w:sz="4" w:space="0" w:color="568096"/>
            </w:tcBorders>
          </w:tcPr>
          <w:p w14:paraId="3622BDA3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single" w:sz="12" w:space="0" w:color="568096"/>
              <w:right w:val="single" w:sz="4" w:space="0" w:color="568096"/>
            </w:tcBorders>
          </w:tcPr>
          <w:p w14:paraId="6DD1EA95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29214433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</w:tcPr>
          <w:p w14:paraId="7C422BEB" w14:textId="77777777" w:rsidR="000757CC" w:rsidRDefault="009060F8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Eleven kan opbygge </w:t>
            </w:r>
          </w:p>
          <w:p w14:paraId="119BDCF2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måltider til særlige anledninger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</w:tcPr>
          <w:p w14:paraId="2377EC15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måltidsanledninger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</w:tcPr>
          <w:p w14:paraId="4AA8B5FF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præsentere eksemplariske måltider fra forskellige kulturer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</w:tcPr>
          <w:p w14:paraId="455AE5B5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tids- og stedsbestemte mad- og måltidskulturer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single" w:sz="12" w:space="0" w:color="568096"/>
              <w:right w:val="nil"/>
            </w:tcBorders>
          </w:tcPr>
          <w:p w14:paraId="4B2B2413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568096"/>
              <w:right w:val="nil"/>
            </w:tcBorders>
          </w:tcPr>
          <w:p w14:paraId="5113C624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568096"/>
              <w:right w:val="single" w:sz="12" w:space="0" w:color="568096"/>
            </w:tcBorders>
          </w:tcPr>
          <w:p w14:paraId="7EA539BA" w14:textId="77777777" w:rsidR="000757CC" w:rsidRDefault="000757CC"/>
        </w:tc>
      </w:tr>
    </w:tbl>
    <w:p w14:paraId="7B0C0BC3" w14:textId="77777777" w:rsidR="009060F8" w:rsidRDefault="009060F8"/>
    <w:sectPr w:rsidR="009060F8">
      <w:headerReference w:type="default" r:id="rId8"/>
      <w:pgSz w:w="23811" w:h="16838" w:orient="landscape"/>
      <w:pgMar w:top="641" w:right="1440" w:bottom="79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DE642" w14:textId="77777777" w:rsidR="005C2145" w:rsidRDefault="005C2145" w:rsidP="00D32815">
      <w:pPr>
        <w:spacing w:after="0" w:line="240" w:lineRule="auto"/>
      </w:pPr>
      <w:r>
        <w:separator/>
      </w:r>
    </w:p>
  </w:endnote>
  <w:endnote w:type="continuationSeparator" w:id="0">
    <w:p w14:paraId="3C8A17F0" w14:textId="77777777" w:rsidR="005C2145" w:rsidRDefault="005C2145" w:rsidP="00D3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C26BD" w14:textId="77777777" w:rsidR="005C2145" w:rsidRDefault="005C2145" w:rsidP="00D32815">
      <w:pPr>
        <w:spacing w:after="0" w:line="240" w:lineRule="auto"/>
      </w:pPr>
      <w:r>
        <w:separator/>
      </w:r>
    </w:p>
  </w:footnote>
  <w:footnote w:type="continuationSeparator" w:id="0">
    <w:p w14:paraId="7B981FC4" w14:textId="77777777" w:rsidR="005C2145" w:rsidRDefault="005C2145" w:rsidP="00D32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F7B72" w14:textId="749F1AC4" w:rsidR="005C2145" w:rsidRDefault="005C2145" w:rsidP="005C2145">
    <w:r>
      <w:t>Læremiddel: Halløjsa! Krydder-Kurt og Krus-Pernille set i relation til Fælles Mål for madkundskab i den obligatoriske undervisning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CC"/>
    <w:rsid w:val="000757CC"/>
    <w:rsid w:val="001C66C1"/>
    <w:rsid w:val="005C2145"/>
    <w:rsid w:val="007E10D0"/>
    <w:rsid w:val="007E25EB"/>
    <w:rsid w:val="0088512F"/>
    <w:rsid w:val="009060F8"/>
    <w:rsid w:val="00D3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1303]"/>
    </o:shapedefaults>
    <o:shapelayout v:ext="edit">
      <o:idmap v:ext="edit" data="1"/>
    </o:shapelayout>
  </w:shapeDefaults>
  <w:decimalSymbol w:val=","/>
  <w:listSeparator w:val=";"/>
  <w14:docId w14:val="1192A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6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1C66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D32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32815"/>
    <w:rPr>
      <w:rFonts w:ascii="Calibri" w:eastAsia="Calibri" w:hAnsi="Calibri" w:cs="Calibri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D32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32815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6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1C66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D32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32815"/>
    <w:rPr>
      <w:rFonts w:ascii="Calibri" w:eastAsia="Calibri" w:hAnsi="Calibri" w:cs="Calibri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D32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3281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FAFC27-E9E9-1147-8B2B-7A1D7FF0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602</Words>
  <Characters>3677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Professionshøjskolen UCC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Skielboe</dc:creator>
  <cp:keywords/>
  <cp:lastModifiedBy>Hanne Birkum</cp:lastModifiedBy>
  <cp:revision>4</cp:revision>
  <cp:lastPrinted>2015-08-17T08:49:00Z</cp:lastPrinted>
  <dcterms:created xsi:type="dcterms:W3CDTF">2016-04-20T10:26:00Z</dcterms:created>
  <dcterms:modified xsi:type="dcterms:W3CDTF">2016-05-09T19:02:00Z</dcterms:modified>
</cp:coreProperties>
</file>